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F5F" w:rsidRDefault="00DC7F5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C7F5F" w:rsidRDefault="00DC7F5F">
      <w:pPr>
        <w:pStyle w:val="ConsPlusNormal"/>
        <w:ind w:firstLine="540"/>
        <w:jc w:val="both"/>
        <w:outlineLvl w:val="0"/>
      </w:pPr>
    </w:p>
    <w:p w:rsidR="00DC7F5F" w:rsidRDefault="00DC7F5F">
      <w:pPr>
        <w:pStyle w:val="ConsPlusTitle"/>
        <w:jc w:val="center"/>
      </w:pPr>
      <w:r>
        <w:t>МОСКОВСКИЙ ГОРОДСКОЙ СУД</w:t>
      </w:r>
    </w:p>
    <w:p w:rsidR="00DC7F5F" w:rsidRDefault="00DC7F5F">
      <w:pPr>
        <w:pStyle w:val="ConsPlusTitle"/>
        <w:jc w:val="center"/>
      </w:pPr>
    </w:p>
    <w:p w:rsidR="00DC7F5F" w:rsidRDefault="00DC7F5F">
      <w:pPr>
        <w:pStyle w:val="ConsPlusTitle"/>
        <w:jc w:val="center"/>
      </w:pPr>
      <w:r>
        <w:t>АПЕЛЛЯЦИОННОЕ ОПРЕДЕЛЕНИЕ</w:t>
      </w:r>
    </w:p>
    <w:p w:rsidR="00DC7F5F" w:rsidRDefault="00DC7F5F">
      <w:pPr>
        <w:pStyle w:val="ConsPlusTitle"/>
        <w:jc w:val="center"/>
      </w:pPr>
      <w:r>
        <w:t>от 6 октября 2020 г. N 33-38904/20</w:t>
      </w:r>
    </w:p>
    <w:p w:rsidR="00DC7F5F" w:rsidRDefault="00DC7F5F">
      <w:pPr>
        <w:pStyle w:val="ConsPlusNormal"/>
        <w:ind w:firstLine="540"/>
        <w:jc w:val="both"/>
      </w:pPr>
    </w:p>
    <w:p w:rsidR="00DC7F5F" w:rsidRDefault="00DC7F5F">
      <w:pPr>
        <w:pStyle w:val="ConsPlusNormal"/>
      </w:pPr>
      <w:r>
        <w:t>Судья Федорова Я.Е.</w:t>
      </w:r>
    </w:p>
    <w:p w:rsidR="00DC7F5F" w:rsidRDefault="00DC7F5F">
      <w:pPr>
        <w:pStyle w:val="ConsPlusNormal"/>
      </w:pPr>
    </w:p>
    <w:p w:rsidR="00DC7F5F" w:rsidRDefault="00DC7F5F">
      <w:pPr>
        <w:pStyle w:val="ConsPlusNormal"/>
        <w:ind w:firstLine="540"/>
        <w:jc w:val="both"/>
      </w:pPr>
      <w:r>
        <w:t xml:space="preserve">Судебная коллегия по гражданским делам Московского городского суда в составе председательствующего судьи </w:t>
      </w:r>
      <w:proofErr w:type="spellStart"/>
      <w:r>
        <w:t>Матлахова</w:t>
      </w:r>
      <w:proofErr w:type="spellEnd"/>
      <w:r>
        <w:t xml:space="preserve"> А.С.</w:t>
      </w:r>
    </w:p>
    <w:p w:rsidR="00DC7F5F" w:rsidRDefault="00DC7F5F">
      <w:pPr>
        <w:pStyle w:val="ConsPlusNormal"/>
        <w:spacing w:before="220"/>
        <w:ind w:firstLine="540"/>
        <w:jc w:val="both"/>
      </w:pPr>
      <w:r>
        <w:t xml:space="preserve">и судей Гусевой О.Г., </w:t>
      </w:r>
      <w:proofErr w:type="spellStart"/>
      <w:r>
        <w:t>Моргасова</w:t>
      </w:r>
      <w:proofErr w:type="spellEnd"/>
      <w:r>
        <w:t xml:space="preserve"> М.М.,</w:t>
      </w:r>
    </w:p>
    <w:p w:rsidR="00DC7F5F" w:rsidRDefault="00DC7F5F">
      <w:pPr>
        <w:pStyle w:val="ConsPlusNormal"/>
        <w:spacing w:before="220"/>
        <w:ind w:firstLine="540"/>
        <w:jc w:val="both"/>
      </w:pPr>
      <w:r>
        <w:t>при секретаре (помощнике судьи) Куркиной А.А.,</w:t>
      </w:r>
    </w:p>
    <w:p w:rsidR="00DC7F5F" w:rsidRDefault="00DC7F5F">
      <w:pPr>
        <w:pStyle w:val="ConsPlusNormal"/>
        <w:spacing w:before="220"/>
        <w:ind w:firstLine="540"/>
        <w:jc w:val="both"/>
      </w:pPr>
      <w:r>
        <w:t xml:space="preserve">рассмотрев в открытом судебном заседании по докладу судьи </w:t>
      </w:r>
      <w:proofErr w:type="spellStart"/>
      <w:r>
        <w:t>Матлахова</w:t>
      </w:r>
      <w:proofErr w:type="spellEnd"/>
      <w:r>
        <w:t xml:space="preserve"> А.С. гражданское дело N 2-931/20 по апелляционным жалобам истца Ц. и ответчика ООО СЗ "ВЦ "</w:t>
      </w:r>
      <w:proofErr w:type="spellStart"/>
      <w:r>
        <w:t>Стройэкспо</w:t>
      </w:r>
      <w:proofErr w:type="spellEnd"/>
      <w:r>
        <w:t xml:space="preserve">" на решение </w:t>
      </w:r>
      <w:proofErr w:type="spellStart"/>
      <w:r>
        <w:t>Кузьминского</w:t>
      </w:r>
      <w:proofErr w:type="spellEnd"/>
      <w:r>
        <w:t xml:space="preserve"> районного суда г. Москвы от 10 февраля 2020 года, которым постановлено:</w:t>
      </w:r>
    </w:p>
    <w:p w:rsidR="00DC7F5F" w:rsidRDefault="00DC7F5F">
      <w:pPr>
        <w:pStyle w:val="ConsPlusNormal"/>
        <w:spacing w:before="220"/>
        <w:ind w:firstLine="540"/>
        <w:jc w:val="both"/>
      </w:pPr>
      <w:r>
        <w:t>взыскать с ООО СЗ "ВЦ "</w:t>
      </w:r>
      <w:proofErr w:type="spellStart"/>
      <w:r>
        <w:t>Стройэкспо</w:t>
      </w:r>
      <w:proofErr w:type="spellEnd"/>
      <w:r>
        <w:t>" в пользу Ц. неустойку за нарушение сроков передачи объекта долевого строительства в размере 150 000 руб., компенсацию морального вреда в размере 2 000 руб., штраф в размере 76 000 руб.;</w:t>
      </w:r>
    </w:p>
    <w:p w:rsidR="00DC7F5F" w:rsidRDefault="00DC7F5F">
      <w:pPr>
        <w:pStyle w:val="ConsPlusNormal"/>
        <w:spacing w:before="220"/>
        <w:ind w:firstLine="540"/>
        <w:jc w:val="both"/>
      </w:pPr>
      <w:r>
        <w:t>в удовлетворении остальной части исковых требований отказать;</w:t>
      </w:r>
    </w:p>
    <w:p w:rsidR="00DC7F5F" w:rsidRDefault="00DC7F5F">
      <w:pPr>
        <w:pStyle w:val="ConsPlusNormal"/>
        <w:spacing w:before="220"/>
        <w:ind w:firstLine="540"/>
        <w:jc w:val="both"/>
      </w:pPr>
      <w:r>
        <w:t>взыскать с ООО СЗ "ВЦ "</w:t>
      </w:r>
      <w:proofErr w:type="spellStart"/>
      <w:r>
        <w:t>Стройэкспо</w:t>
      </w:r>
      <w:proofErr w:type="spellEnd"/>
      <w:r>
        <w:t>" в бюджет г. Москвы государственную пошлину в размере 5 460 руб.,</w:t>
      </w:r>
    </w:p>
    <w:p w:rsidR="00DC7F5F" w:rsidRDefault="00DC7F5F">
      <w:pPr>
        <w:pStyle w:val="ConsPlusNormal"/>
        <w:jc w:val="center"/>
      </w:pPr>
    </w:p>
    <w:p w:rsidR="00DC7F5F" w:rsidRDefault="00DC7F5F">
      <w:pPr>
        <w:pStyle w:val="ConsPlusNormal"/>
        <w:jc w:val="center"/>
      </w:pPr>
      <w:r>
        <w:t>установила:</w:t>
      </w:r>
    </w:p>
    <w:p w:rsidR="00DC7F5F" w:rsidRDefault="00DC7F5F">
      <w:pPr>
        <w:pStyle w:val="ConsPlusNormal"/>
        <w:jc w:val="center"/>
      </w:pPr>
    </w:p>
    <w:p w:rsidR="00DC7F5F" w:rsidRDefault="00DC7F5F">
      <w:pPr>
        <w:pStyle w:val="ConsPlusNormal"/>
        <w:ind w:firstLine="540"/>
        <w:jc w:val="both"/>
      </w:pPr>
      <w:r>
        <w:t xml:space="preserve">Ц. обратилась в суд с иском к ООО СЗ "ВЦ </w:t>
      </w:r>
      <w:proofErr w:type="spellStart"/>
      <w:r>
        <w:t>Стройэкспо</w:t>
      </w:r>
      <w:proofErr w:type="spellEnd"/>
      <w:r>
        <w:t>" о взыскании неустойки за нарушение срока передачи объекта долевого строительства в размере 523 316,77 руб., компенсации морального вреда в размере 30 000 руб., штрафа.</w:t>
      </w:r>
    </w:p>
    <w:p w:rsidR="00DC7F5F" w:rsidRDefault="00DC7F5F">
      <w:pPr>
        <w:pStyle w:val="ConsPlusNormal"/>
        <w:spacing w:before="220"/>
        <w:ind w:firstLine="540"/>
        <w:jc w:val="both"/>
      </w:pPr>
      <w:r>
        <w:t>В обоснование заявленных требований истец указала, что 28.12.2017 между сторонами по делу был заключен договор участия в долевом строительстве, по условиям которого ответчик обязался в срок не позднее 30.06.2019 передать объект долевого строительства стоимостью 10 288 009,92 руб., однако своих обязательств надлежащим образом не исполнил, так как акт приема-передачи сторонами был подписан только 18.10.2019.</w:t>
      </w:r>
    </w:p>
    <w:p w:rsidR="00DC7F5F" w:rsidRDefault="00DC7F5F">
      <w:pPr>
        <w:pStyle w:val="ConsPlusNormal"/>
        <w:spacing w:before="220"/>
        <w:ind w:firstLine="540"/>
        <w:jc w:val="both"/>
      </w:pPr>
      <w:r>
        <w:t>Суд первой инстанции постановил вышеназванное решение, об отмене которого просят истец и ответчик по доводам апелляционных жалоб.</w:t>
      </w:r>
    </w:p>
    <w:p w:rsidR="00DC7F5F" w:rsidRDefault="00DC7F5F">
      <w:pPr>
        <w:pStyle w:val="ConsPlusNormal"/>
        <w:spacing w:before="220"/>
        <w:ind w:firstLine="540"/>
        <w:jc w:val="both"/>
      </w:pPr>
      <w:r>
        <w:t>Изучив материалы дела и обсудив доводы жалоб в отсутствие участвующих в рассмотрении дела лиц, надлежащим образом извещенных о дате и времени судебного заседания, судебная коллегия приходит к следующему.</w:t>
      </w:r>
    </w:p>
    <w:p w:rsidR="00DC7F5F" w:rsidRDefault="00DC7F5F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ч. 1 ст. 327.1</w:t>
        </w:r>
      </w:hyperlink>
      <w:r>
        <w:t xml:space="preserve"> ГПК РФ, суд апелляционной инстанции рассматривает дело в пределах доводов, изложенных в апелляционных жалобе, представлении и возражениях относительно жалобы, представления.</w:t>
      </w:r>
    </w:p>
    <w:p w:rsidR="00DC7F5F" w:rsidRDefault="00DC7F5F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ст. 330</w:t>
        </w:r>
      </w:hyperlink>
      <w:r>
        <w:t xml:space="preserve"> ГПК РФ, основаниями для отмены или изменения решения суда в апелляционном порядке являются:</w:t>
      </w:r>
    </w:p>
    <w:p w:rsidR="00DC7F5F" w:rsidRDefault="00DC7F5F">
      <w:pPr>
        <w:pStyle w:val="ConsPlusNormal"/>
        <w:spacing w:before="220"/>
        <w:ind w:firstLine="540"/>
        <w:jc w:val="both"/>
      </w:pPr>
      <w:r>
        <w:lastRenderedPageBreak/>
        <w:t>- неправильное определение обстоятельств, имеющих значение для дела;</w:t>
      </w:r>
    </w:p>
    <w:p w:rsidR="00DC7F5F" w:rsidRDefault="00DC7F5F">
      <w:pPr>
        <w:pStyle w:val="ConsPlusNormal"/>
        <w:spacing w:before="220"/>
        <w:ind w:firstLine="540"/>
        <w:jc w:val="both"/>
      </w:pPr>
      <w:r>
        <w:t>- недоказанность установленных судом первой инстанции обстоятельств, имеющих значение для дела;</w:t>
      </w:r>
    </w:p>
    <w:p w:rsidR="00DC7F5F" w:rsidRDefault="00DC7F5F">
      <w:pPr>
        <w:pStyle w:val="ConsPlusNormal"/>
        <w:spacing w:before="220"/>
        <w:ind w:firstLine="540"/>
        <w:jc w:val="both"/>
      </w:pPr>
      <w:r>
        <w:t>- несоответствие выводов суда первой инстанции, изложенных в решении суда, обстоятельствам дела;</w:t>
      </w:r>
    </w:p>
    <w:p w:rsidR="00DC7F5F" w:rsidRDefault="00DC7F5F">
      <w:pPr>
        <w:pStyle w:val="ConsPlusNormal"/>
        <w:spacing w:before="220"/>
        <w:ind w:firstLine="540"/>
        <w:jc w:val="both"/>
      </w:pPr>
      <w:r>
        <w:t>- нарушение или неправильное применение норм материального права или норм процессуального права.</w:t>
      </w:r>
    </w:p>
    <w:p w:rsidR="00DC7F5F" w:rsidRDefault="00DC7F5F">
      <w:pPr>
        <w:pStyle w:val="ConsPlusNormal"/>
        <w:spacing w:before="220"/>
        <w:ind w:firstLine="540"/>
        <w:jc w:val="both"/>
      </w:pPr>
      <w:r>
        <w:t>При рассмотрении данного дела требования норм действующего законодательства судом первой инстанции соблюдены не в полной мере.</w:t>
      </w:r>
    </w:p>
    <w:p w:rsidR="00DC7F5F" w:rsidRDefault="00DC7F5F">
      <w:pPr>
        <w:pStyle w:val="ConsPlusNormal"/>
        <w:spacing w:before="220"/>
        <w:ind w:firstLine="540"/>
        <w:jc w:val="both"/>
      </w:pPr>
      <w:r>
        <w:t>Фактические обстоятельства по делу, изложенные в исковом заявлении и установленные судом первой инстанции, с достаточной полнотой отраженные в описательной части обжалуемого решения, сторонами по делу не оспариваются.</w:t>
      </w:r>
    </w:p>
    <w:p w:rsidR="00DC7F5F" w:rsidRDefault="00DC7F5F">
      <w:pPr>
        <w:pStyle w:val="ConsPlusNormal"/>
        <w:spacing w:before="220"/>
        <w:ind w:firstLine="540"/>
        <w:jc w:val="both"/>
      </w:pPr>
      <w:r>
        <w:t xml:space="preserve">Не соглашаясь с постановленным по делу судебным актом, истец в апелляционной жалобе указывает на то, что суд первой инстанции чрезмерно снизил размер взыскиваемой неустойки в соответствии со </w:t>
      </w:r>
      <w:hyperlink r:id="rId7" w:history="1">
        <w:r>
          <w:rPr>
            <w:color w:val="0000FF"/>
          </w:rPr>
          <w:t>ст. 333</w:t>
        </w:r>
      </w:hyperlink>
      <w:r>
        <w:t xml:space="preserve"> ГК РФ.</w:t>
      </w:r>
    </w:p>
    <w:p w:rsidR="00DC7F5F" w:rsidRDefault="00DC7F5F">
      <w:pPr>
        <w:pStyle w:val="ConsPlusNormal"/>
        <w:spacing w:before="220"/>
        <w:ind w:firstLine="540"/>
        <w:jc w:val="both"/>
      </w:pPr>
      <w:r>
        <w:t>Данные доводы судебная коллегия находит заслуживающими внимания в части.</w:t>
      </w:r>
    </w:p>
    <w:p w:rsidR="00DC7F5F" w:rsidRDefault="00DC7F5F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ч. 2 ст. 6</w:t>
        </w:r>
      </w:hyperlink>
      <w:r>
        <w:t xml:space="preserve">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просрочки.</w:t>
      </w:r>
    </w:p>
    <w:p w:rsidR="00DC7F5F" w:rsidRDefault="00DC7F5F">
      <w:pPr>
        <w:pStyle w:val="ConsPlusNormal"/>
        <w:spacing w:before="220"/>
        <w:ind w:firstLine="540"/>
        <w:jc w:val="both"/>
      </w:pPr>
      <w:r>
        <w:t>Если участником долевого строительства является гражданин, предусмотренная настоящей частью неустойка (пени) уплачивается застройщиком в двойном размере.</w:t>
      </w:r>
    </w:p>
    <w:p w:rsidR="00DC7F5F" w:rsidRDefault="00DC7F5F">
      <w:pPr>
        <w:pStyle w:val="ConsPlusNormal"/>
        <w:spacing w:before="220"/>
        <w:ind w:firstLine="540"/>
        <w:jc w:val="both"/>
      </w:pPr>
      <w:r>
        <w:t xml:space="preserve">В силу </w:t>
      </w:r>
      <w:hyperlink r:id="rId9" w:history="1">
        <w:r>
          <w:rPr>
            <w:color w:val="0000FF"/>
          </w:rPr>
          <w:t>п. 1 ст. 333</w:t>
        </w:r>
      </w:hyperlink>
      <w:r>
        <w:t xml:space="preserve"> ГК РФ, если подлежащая уплате неустойка явно несоразмерна последствиям нарушения обязательства, суд вправе уменьшить неустойку.</w:t>
      </w:r>
    </w:p>
    <w:p w:rsidR="00DC7F5F" w:rsidRDefault="00DC7F5F">
      <w:pPr>
        <w:pStyle w:val="ConsPlusNormal"/>
        <w:spacing w:before="220"/>
        <w:ind w:firstLine="540"/>
        <w:jc w:val="both"/>
      </w:pPr>
      <w:r>
        <w:t>Если обязательство нарушено лицом, осуществляющим предпринимательскую деятельность, суд вправе уменьшить неустойку при условии заявления должника о таком уменьшении.</w:t>
      </w:r>
    </w:p>
    <w:p w:rsidR="00DC7F5F" w:rsidRDefault="00DC7F5F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0" w:history="1">
        <w:r>
          <w:rPr>
            <w:color w:val="0000FF"/>
          </w:rPr>
          <w:t>п. 85</w:t>
        </w:r>
      </w:hyperlink>
      <w:r>
        <w:t xml:space="preserve"> Постановления Пленума Верховного Суда РФ от 26.12.2017 N 58 "О применении судами законодательства об обязательном страховании гражданской ответственности владельцев транспортных средств", применение </w:t>
      </w:r>
      <w:hyperlink r:id="rId11" w:history="1">
        <w:r>
          <w:rPr>
            <w:color w:val="0000FF"/>
          </w:rPr>
          <w:t>ст. 333</w:t>
        </w:r>
      </w:hyperlink>
      <w:r>
        <w:t xml:space="preserve"> ГК РФ об уменьшении судом неустойки возможно лишь в исключительных случаях, когда подлежащие уплате неустойка, финансовая санкция и штраф явно несоразмерны последствиям нарушенного обязательства. В решении должны указываться мотивы, по которым суд пришел к выводу, что уменьшение их размера является допустимым.</w:t>
      </w:r>
    </w:p>
    <w:p w:rsidR="00DC7F5F" w:rsidRDefault="00DC7F5F">
      <w:pPr>
        <w:pStyle w:val="ConsPlusNormal"/>
        <w:spacing w:before="220"/>
        <w:ind w:firstLine="540"/>
        <w:jc w:val="both"/>
      </w:pPr>
      <w:r>
        <w:t>Бремя доказывания несоразмерности неустойки и необоснованности выгоды кредитора возлагается на ответчика (</w:t>
      </w:r>
      <w:hyperlink r:id="rId12" w:history="1">
        <w:r>
          <w:rPr>
            <w:color w:val="0000FF"/>
          </w:rPr>
          <w:t>п. 73</w:t>
        </w:r>
      </w:hyperlink>
      <w:r>
        <w:t xml:space="preserve"> Постановления Пленума Верховного Суда РФ от 26.12.2017 N 58).</w:t>
      </w:r>
    </w:p>
    <w:p w:rsidR="00DC7F5F" w:rsidRDefault="00DC7F5F">
      <w:pPr>
        <w:pStyle w:val="ConsPlusNormal"/>
        <w:spacing w:before="220"/>
        <w:ind w:firstLine="540"/>
        <w:jc w:val="both"/>
      </w:pPr>
      <w:r>
        <w:t>Рассчитанный истцом размер неустойки за период с 01.07.2019 по 18.10.2019 в сумме 523 316,77 руб. был снижен судом до 150 000 руб.</w:t>
      </w:r>
    </w:p>
    <w:p w:rsidR="00DC7F5F" w:rsidRDefault="00DC7F5F">
      <w:pPr>
        <w:pStyle w:val="ConsPlusNormal"/>
        <w:spacing w:before="220"/>
        <w:ind w:firstLine="540"/>
        <w:jc w:val="both"/>
      </w:pPr>
      <w:r>
        <w:t xml:space="preserve">Судебная коллегия соглашается с доводами апелляционной жалобы истца о том, что определенный судом первой инстанции на основании </w:t>
      </w:r>
      <w:hyperlink r:id="rId13" w:history="1">
        <w:r>
          <w:rPr>
            <w:color w:val="0000FF"/>
          </w:rPr>
          <w:t>ст. 333</w:t>
        </w:r>
      </w:hyperlink>
      <w:r>
        <w:t xml:space="preserve"> ГК РФ размер неустойки является </w:t>
      </w:r>
      <w:r>
        <w:lastRenderedPageBreak/>
        <w:t>несоразмерно низким относительно цены основного обязательства, срока допущенной просрочки и последствий нарушения обязательств со стороны застройщика.</w:t>
      </w:r>
    </w:p>
    <w:p w:rsidR="00DC7F5F" w:rsidRDefault="00DC7F5F">
      <w:pPr>
        <w:pStyle w:val="ConsPlusNormal"/>
        <w:spacing w:before="220"/>
        <w:ind w:firstLine="540"/>
        <w:jc w:val="both"/>
      </w:pPr>
      <w:r>
        <w:t xml:space="preserve">Об этом свидетельствует тот факт, что размер процентов за пользование чужими денежными средствами, рассчитанный по правилам </w:t>
      </w:r>
      <w:hyperlink r:id="rId14" w:history="1">
        <w:r>
          <w:rPr>
            <w:color w:val="0000FF"/>
          </w:rPr>
          <w:t>ст. 395</w:t>
        </w:r>
      </w:hyperlink>
      <w:r>
        <w:t xml:space="preserve"> ГК РФ, исходя из обстоятельств дела, составил бы 223 940,38 руб.</w:t>
      </w:r>
    </w:p>
    <w:p w:rsidR="00DC7F5F" w:rsidRDefault="00DC7F5F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5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3 п. 2</w:t>
        </w:r>
      </w:hyperlink>
      <w:r>
        <w:t xml:space="preserve"> Постановление Пленума ВАС РФ от 22.12.2011 N 81 (ред. от 24.03.2016) "О некоторых вопросах применения статьи 333 Гражданского кодекса Российской Федерации", снижение неустойки ниже однократной учетной ставки Банка России на основании соответствующего заявления ответчика допускается лишь в экстраординарных случаях, когда убытки кредитора компенсируются за счет того, что размер платы за пользование денежными средствами, предусмотренный условиями обязательства (заем, кредит, коммерческий кредит), значительно превышает обычно взимаемые в подобных обстоятельствах проценты.</w:t>
      </w:r>
    </w:p>
    <w:p w:rsidR="00DC7F5F" w:rsidRDefault="00DC7F5F">
      <w:pPr>
        <w:pStyle w:val="ConsPlusNormal"/>
        <w:spacing w:before="220"/>
        <w:ind w:firstLine="540"/>
        <w:jc w:val="both"/>
      </w:pPr>
      <w:r>
        <w:t>Доказательств наличия соответствующих обстоятельств ответчиком не представлено, а судом не установлено.</w:t>
      </w:r>
    </w:p>
    <w:p w:rsidR="00DC7F5F" w:rsidRDefault="00DC7F5F">
      <w:pPr>
        <w:pStyle w:val="ConsPlusNormal"/>
        <w:spacing w:before="220"/>
        <w:ind w:firstLine="540"/>
        <w:jc w:val="both"/>
      </w:pPr>
      <w:r>
        <w:t xml:space="preserve">В связи с этим судебная коллегия полагает необходимым решение суда в части взыскания неустойки, штрафа и государственной пошлины изменить, взыскав с ООО СЗ "ВЦ </w:t>
      </w:r>
      <w:proofErr w:type="spellStart"/>
      <w:r>
        <w:t>Стройэкспо</w:t>
      </w:r>
      <w:proofErr w:type="spellEnd"/>
      <w:r>
        <w:t xml:space="preserve">" в пользу Ц. неустойку в размере 230 000 руб., штраф в соответствии с </w:t>
      </w:r>
      <w:hyperlink r:id="rId16" w:history="1">
        <w:r>
          <w:rPr>
            <w:color w:val="0000FF"/>
          </w:rPr>
          <w:t>п. 6 ст. 13</w:t>
        </w:r>
      </w:hyperlink>
      <w:r>
        <w:t xml:space="preserve"> Закона о защите прав потребителей в размере 116 000 руб.</w:t>
      </w:r>
    </w:p>
    <w:p w:rsidR="00DC7F5F" w:rsidRDefault="00DC7F5F">
      <w:pPr>
        <w:pStyle w:val="ConsPlusNormal"/>
        <w:spacing w:before="220"/>
        <w:ind w:firstLine="540"/>
        <w:jc w:val="both"/>
      </w:pPr>
      <w:r>
        <w:t xml:space="preserve">В связи с изменением объема удовлетворяемых исковых требований размер государственной пошлины, подлежащей взысканию с ООО СЗ "ВЦ </w:t>
      </w:r>
      <w:proofErr w:type="spellStart"/>
      <w:r>
        <w:t>Стройэкспо</w:t>
      </w:r>
      <w:proofErr w:type="spellEnd"/>
      <w:r>
        <w:t>" в бюджет г. Москвы, составит 5 800 руб.</w:t>
      </w:r>
    </w:p>
    <w:p w:rsidR="00DC7F5F" w:rsidRDefault="00DC7F5F">
      <w:pPr>
        <w:pStyle w:val="ConsPlusNormal"/>
        <w:spacing w:before="220"/>
        <w:ind w:firstLine="540"/>
        <w:jc w:val="both"/>
      </w:pPr>
      <w:r>
        <w:t xml:space="preserve">По указанным выше основаниям судебная коллегия отвергает доводы апелляционной жалобы ответчика о необходимости дальнейшего снижения суммы неустойки с применением положений </w:t>
      </w:r>
      <w:hyperlink r:id="rId17" w:history="1">
        <w:r>
          <w:rPr>
            <w:color w:val="0000FF"/>
          </w:rPr>
          <w:t>ст. 333</w:t>
        </w:r>
      </w:hyperlink>
      <w:r>
        <w:t xml:space="preserve"> ГК РФ.</w:t>
      </w:r>
    </w:p>
    <w:p w:rsidR="00DC7F5F" w:rsidRDefault="00DC7F5F">
      <w:pPr>
        <w:pStyle w:val="ConsPlusNormal"/>
        <w:spacing w:before="220"/>
        <w:ind w:firstLine="540"/>
        <w:jc w:val="both"/>
      </w:pPr>
      <w:r>
        <w:t xml:space="preserve">Оснований для применения </w:t>
      </w:r>
      <w:hyperlink r:id="rId18" w:history="1">
        <w:r>
          <w:rPr>
            <w:color w:val="0000FF"/>
          </w:rPr>
          <w:t>ст. 333</w:t>
        </w:r>
      </w:hyperlink>
      <w:r>
        <w:t xml:space="preserve"> ГК РФ к размеру штрафа суд апелляционной инстанции не усматривает.</w:t>
      </w:r>
    </w:p>
    <w:p w:rsidR="00DC7F5F" w:rsidRDefault="00DC7F5F">
      <w:pPr>
        <w:pStyle w:val="ConsPlusNormal"/>
        <w:spacing w:before="220"/>
        <w:ind w:firstLine="540"/>
        <w:jc w:val="both"/>
      </w:pPr>
      <w:r>
        <w:t xml:space="preserve">В остальной части апелляционные жалобы не содержат правовых оснований, предусмотренных </w:t>
      </w:r>
      <w:hyperlink r:id="rId19" w:history="1">
        <w:r>
          <w:rPr>
            <w:color w:val="0000FF"/>
          </w:rPr>
          <w:t>ст. 330</w:t>
        </w:r>
      </w:hyperlink>
      <w:r>
        <w:t xml:space="preserve"> ГПК РФ, к отмене или изменению постановленного судом решения.</w:t>
      </w:r>
    </w:p>
    <w:p w:rsidR="00DC7F5F" w:rsidRDefault="00DC7F5F">
      <w:pPr>
        <w:pStyle w:val="ConsPlusNormal"/>
        <w:spacing w:before="220"/>
        <w:ind w:firstLine="540"/>
        <w:jc w:val="both"/>
      </w:pPr>
      <w:r>
        <w:t xml:space="preserve">На основании изложенного, руководствуясь </w:t>
      </w:r>
      <w:hyperlink r:id="rId20" w:history="1">
        <w:r>
          <w:rPr>
            <w:color w:val="0000FF"/>
          </w:rPr>
          <w:t>ст. 328</w:t>
        </w:r>
      </w:hyperlink>
      <w:r>
        <w:t xml:space="preserve"> - </w:t>
      </w:r>
      <w:hyperlink r:id="rId21" w:history="1">
        <w:r>
          <w:rPr>
            <w:color w:val="0000FF"/>
          </w:rPr>
          <w:t>329</w:t>
        </w:r>
      </w:hyperlink>
      <w:r>
        <w:t xml:space="preserve"> ГПК РФ, судебная коллегия</w:t>
      </w:r>
    </w:p>
    <w:p w:rsidR="00DC7F5F" w:rsidRDefault="00DC7F5F">
      <w:pPr>
        <w:pStyle w:val="ConsPlusNormal"/>
        <w:jc w:val="center"/>
      </w:pPr>
    </w:p>
    <w:p w:rsidR="00DC7F5F" w:rsidRDefault="00DC7F5F">
      <w:pPr>
        <w:pStyle w:val="ConsPlusNormal"/>
        <w:jc w:val="center"/>
      </w:pPr>
      <w:r>
        <w:t>определила:</w:t>
      </w:r>
    </w:p>
    <w:p w:rsidR="00DC7F5F" w:rsidRDefault="00DC7F5F">
      <w:pPr>
        <w:pStyle w:val="ConsPlusNormal"/>
        <w:jc w:val="center"/>
      </w:pPr>
    </w:p>
    <w:p w:rsidR="00DC7F5F" w:rsidRDefault="00DC7F5F">
      <w:pPr>
        <w:pStyle w:val="ConsPlusNormal"/>
        <w:ind w:firstLine="540"/>
        <w:jc w:val="both"/>
      </w:pPr>
      <w:r>
        <w:t xml:space="preserve">решение </w:t>
      </w:r>
      <w:proofErr w:type="spellStart"/>
      <w:r>
        <w:t>Кузьминского</w:t>
      </w:r>
      <w:proofErr w:type="spellEnd"/>
      <w:r>
        <w:t xml:space="preserve"> районного суда г. Москвы от 10 февраля 2020 года в части взыскания неустойки, штрафа и государственной пошлины изменить:</w:t>
      </w:r>
    </w:p>
    <w:p w:rsidR="00DC7F5F" w:rsidRDefault="00DC7F5F">
      <w:pPr>
        <w:pStyle w:val="ConsPlusNormal"/>
        <w:spacing w:before="220"/>
        <w:ind w:firstLine="540"/>
        <w:jc w:val="both"/>
      </w:pPr>
      <w:r>
        <w:t xml:space="preserve">взыскать с ООО СЗ "ВЦ </w:t>
      </w:r>
      <w:proofErr w:type="spellStart"/>
      <w:r>
        <w:t>Стройэкспо</w:t>
      </w:r>
      <w:proofErr w:type="spellEnd"/>
      <w:r>
        <w:t>" в пользу Ц. неустойку в размере 230 000 руб., штраф в размере 116 000 руб.;</w:t>
      </w:r>
    </w:p>
    <w:p w:rsidR="00DC7F5F" w:rsidRDefault="00DC7F5F">
      <w:pPr>
        <w:pStyle w:val="ConsPlusNormal"/>
        <w:spacing w:before="220"/>
        <w:ind w:firstLine="540"/>
        <w:jc w:val="both"/>
      </w:pPr>
      <w:r>
        <w:t xml:space="preserve">взыскать с ООО СЗ "ВЦ </w:t>
      </w:r>
      <w:proofErr w:type="spellStart"/>
      <w:r>
        <w:t>Стройэкспо</w:t>
      </w:r>
      <w:proofErr w:type="spellEnd"/>
      <w:r>
        <w:t>" в бюджет г. Москвы государственную пошлину в размере 5 800 руб.</w:t>
      </w:r>
    </w:p>
    <w:p w:rsidR="00DC7F5F" w:rsidRDefault="00DC7F5F">
      <w:pPr>
        <w:pStyle w:val="ConsPlusNormal"/>
        <w:spacing w:before="220"/>
        <w:ind w:firstLine="540"/>
        <w:jc w:val="both"/>
      </w:pPr>
      <w:r>
        <w:t xml:space="preserve">В остальной части решение </w:t>
      </w:r>
      <w:proofErr w:type="spellStart"/>
      <w:r>
        <w:t>Кузьминского</w:t>
      </w:r>
      <w:proofErr w:type="spellEnd"/>
      <w:r>
        <w:t xml:space="preserve"> районного суда г. Москвы от 10 февраля 2020 года оставить без изменения, апелляционные жалобы истца Ц. и ответчика ООО СЗ "ВЦ "</w:t>
      </w:r>
      <w:proofErr w:type="spellStart"/>
      <w:r>
        <w:t>Стройэкспо</w:t>
      </w:r>
      <w:proofErr w:type="spellEnd"/>
      <w:r>
        <w:t>" - без удовлетворения.</w:t>
      </w:r>
    </w:p>
    <w:p w:rsidR="00DC7F5F" w:rsidRDefault="00DC7F5F">
      <w:pPr>
        <w:pStyle w:val="ConsPlusNormal"/>
        <w:ind w:firstLine="540"/>
        <w:jc w:val="both"/>
      </w:pPr>
    </w:p>
    <w:p w:rsidR="00DC7F5F" w:rsidRDefault="00DC7F5F">
      <w:pPr>
        <w:pStyle w:val="ConsPlusNormal"/>
        <w:ind w:firstLine="540"/>
        <w:jc w:val="both"/>
      </w:pPr>
    </w:p>
    <w:p w:rsidR="005E7253" w:rsidRDefault="005E7253">
      <w:bookmarkStart w:id="0" w:name="_GoBack"/>
      <w:bookmarkEnd w:id="0"/>
    </w:p>
    <w:sectPr w:rsidR="005E7253" w:rsidSect="006C1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5F"/>
    <w:rsid w:val="005E7253"/>
    <w:rsid w:val="00DC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1C5E"/>
  <w15:chartTrackingRefBased/>
  <w15:docId w15:val="{31C60664-6478-4D0F-BA65-6AAF3942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7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7F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F8067EB949C85186FAA018BD9DF4BA4F1F50A44D647FA9C7E5DD195E95E758B76118BAC0E9DE32B22C484D8DFFE0E82CE00218CDKDO5P" TargetMode="External"/><Relationship Id="rId13" Type="http://schemas.openxmlformats.org/officeDocument/2006/relationships/hyperlink" Target="consultantplus://offline/ref=DAF8067EB949C85186FAA018BD9DF4BA4F1957AF4F627FA9C7E5DD195E95E758B76118BAC7EAD265E83C4C04D9F4FFEE3BFE0906CDD494K8O6P" TargetMode="External"/><Relationship Id="rId18" Type="http://schemas.openxmlformats.org/officeDocument/2006/relationships/hyperlink" Target="consultantplus://offline/ref=DAF8067EB949C85186FAA018BD9DF4BA4F1957AF4F627FA9C7E5DD195E95E758B76118BAC7EAD265E83C4C04D9F4FFEE3BFE0906CDD494K8O6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AF8067EB949C85186FAA018BD9DF4BA4F185FA44E6F7FA9C7E5DD195E95E758B76118B9C3EDDE32B22C484D8DFFE0E82CE00218CDKDO5P" TargetMode="External"/><Relationship Id="rId7" Type="http://schemas.openxmlformats.org/officeDocument/2006/relationships/hyperlink" Target="consultantplus://offline/ref=DAF8067EB949C85186FAA018BD9DF4BA4F1957AF4F627FA9C7E5DD195E95E758B76118BAC7EAD265E83C4C04D9F4FFEE3BFE0906CDD494K8O6P" TargetMode="External"/><Relationship Id="rId12" Type="http://schemas.openxmlformats.org/officeDocument/2006/relationships/hyperlink" Target="consultantplus://offline/ref=DAF8067EB949C85186FAA018BD9DF4BA4E1551AF4B677FA9C7E5DD195E95E758B76118BAC7EFD460EB634911C8ACF3E923E00011D1D69685K2OAP" TargetMode="External"/><Relationship Id="rId17" Type="http://schemas.openxmlformats.org/officeDocument/2006/relationships/hyperlink" Target="consultantplus://offline/ref=DAF8067EB949C85186FAA018BD9DF4BA4F1957AF4F627FA9C7E5DD195E95E758B76118BAC7EAD265E83C4C04D9F4FFEE3BFE0906CDD494K8O6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AF8067EB949C85186FAA018BD9DF4BA4F1F5EAF4E667FA9C7E5DD195E95E758B76118BAC7EFD660E6634911C8ACF3E923E00011D1D69685K2OAP" TargetMode="External"/><Relationship Id="rId20" Type="http://schemas.openxmlformats.org/officeDocument/2006/relationships/hyperlink" Target="consultantplus://offline/ref=DAF8067EB949C85186FAA018BD9DF4BA4F185FA44E6F7FA9C7E5DD195E95E758B76118B9C4E9DE32B22C484D8DFFE0E82CE00218CDKDO5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F8067EB949C85186FAA018BD9DF4BA4F185FA44E6F7FA9C7E5DD195E95E758B76118B9C2EBDE32B22C484D8DFFE0E82CE00218CDKDO5P" TargetMode="External"/><Relationship Id="rId11" Type="http://schemas.openxmlformats.org/officeDocument/2006/relationships/hyperlink" Target="consultantplus://offline/ref=DAF8067EB949C85186FAA018BD9DF4BA4F1957AF4F627FA9C7E5DD195E95E758B76118BAC7EAD265E83C4C04D9F4FFEE3BFE0906CDD494K8O6P" TargetMode="External"/><Relationship Id="rId5" Type="http://schemas.openxmlformats.org/officeDocument/2006/relationships/hyperlink" Target="consultantplus://offline/ref=DAF8067EB949C85186FAA018BD9DF4BA4F185FA44E6F7FA9C7E5DD195E95E758B76118B9C5E9DE32B22C484D8DFFE0E82CE00218CDKDO5P" TargetMode="External"/><Relationship Id="rId15" Type="http://schemas.openxmlformats.org/officeDocument/2006/relationships/hyperlink" Target="consultantplus://offline/ref=DAF8067EB949C85186FAA018BD9DF4BA4D1452A44F637FA9C7E5DD195E95E758B76118BAC7EFD567E0634911C8ACF3E923E00011D1D69685K2OAP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AF8067EB949C85186FAA018BD9DF4BA4E1551AF4B677FA9C7E5DD195E95E758B76118BAC7EFD46FE5634911C8ACF3E923E00011D1D69685K2OAP" TargetMode="External"/><Relationship Id="rId19" Type="http://schemas.openxmlformats.org/officeDocument/2006/relationships/hyperlink" Target="consultantplus://offline/ref=DAF8067EB949C85186FAA018BD9DF4BA4F185FA44E6F7FA9C7E5DD195E95E758B76118B9C2EBDE32B22C484D8DFFE0E82CE00218CDKDO5P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AF8067EB949C85186FAA018BD9DF4BA4F1957AF4F627FA9C7E5DD195E95E758B76118BAC7EAD262E83C4C04D9F4FFEE3BFE0906CDD494K8O6P" TargetMode="External"/><Relationship Id="rId14" Type="http://schemas.openxmlformats.org/officeDocument/2006/relationships/hyperlink" Target="consultantplus://offline/ref=DAF8067EB949C85186FAA018BD9DF4BA4F1957AF4F627FA9C7E5DD195E95E758B76118BAC7EEDD6FE4634911C8ACF3E923E00011D1D69685K2OA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2021-09-16T15:14:00Z</dcterms:created>
  <dcterms:modified xsi:type="dcterms:W3CDTF">2021-09-16T15:14:00Z</dcterms:modified>
</cp:coreProperties>
</file>